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46ACD7A0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Mex, Suiza, </w:t>
      </w:r>
      <w:r w:rsidR="00612148">
        <w:rPr>
          <w:rFonts w:asciiTheme="minorHAnsi" w:hAnsiTheme="minorHAnsi" w:cstheme="minorHAnsi"/>
          <w:b/>
          <w:bCs/>
          <w:sz w:val="20"/>
          <w:szCs w:val="20"/>
          <w:lang w:val="es-ES"/>
        </w:rPr>
        <w:t>22</w:t>
      </w:r>
      <w:r w:rsidR="00612148" w:rsidRPr="00612148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de marzo de 2022</w:t>
      </w: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14D680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2BC8D60E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b/>
          <w:bCs/>
          <w:sz w:val="20"/>
          <w:szCs w:val="20"/>
          <w:lang w:val="es-ES" w:eastAsia="it-IT"/>
        </w:rPr>
        <w:t xml:space="preserve">BOBST lanza la nueva línea de prensas Todo-en-Uno con la DIGITAL </w:t>
      </w:r>
      <w:proofErr w:type="gramStart"/>
      <w:r w:rsidRPr="00804EB0">
        <w:rPr>
          <w:rFonts w:asciiTheme="minorHAnsi" w:hAnsiTheme="minorHAnsi" w:cstheme="minorHAnsi"/>
          <w:b/>
          <w:bCs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b/>
          <w:bCs/>
          <w:sz w:val="20"/>
          <w:szCs w:val="20"/>
          <w:lang w:val="es-ES" w:eastAsia="it-IT"/>
        </w:rPr>
        <w:t xml:space="preserve"> 340 y la DIGITAL MASTER 510 </w:t>
      </w: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52C89367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73CBB8B9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Aprovechando su experiencia en flexografía y los últimos desarrollos a nivel de innovación en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inkjet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, BOBST está mejorando su oferta de Todo-en-uno y Todo-en-línea con la nueva serie de prensas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. La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340 y la DIGITAL MASTER 510 cambiarán la forma en la que se producen etiquetas. Proporcionan una línea de producción totalmente digitalizada y automatizada, desde la impresión hasta el embellecimiento y el troquelado. La familia de productos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se basa en una arquitectura totalmente modular y actualizable, que permite que el cliente configure su propia impresora y la pueda hacer evolucionar a lo largo del tiempo. </w:t>
      </w:r>
    </w:p>
    <w:p w14:paraId="697A7708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1A35686B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«Los últimos desarrollos en la producción de etiquetas responden a las necesidades de los propietarios de marcas, que buscan convertidores capaces de producir más rápido, mejor y a precios más competitivos. En este contexto, la plataforma Todo-en-Uno de BOBST es la solución perfecta, ya que las etiquetas impresas digitalmente pueden producirse con una alta calidad, una productividad excepcional y a un precio menor, de tiradas cortas a largas», explicó el Director de Marketing Estratégico, Patrick Graber.  </w:t>
      </w:r>
    </w:p>
    <w:p w14:paraId="0DF383AD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520F3D2B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«Con la serie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queremos dar respuesta a los retos de nuestros clientes, que se enfrentan a falta de personal cualificado al hacer la transición a una productividad industrial con tiradas más largas y equipos digitales. Además, les brinda una mayor agilidad y flexibilidad en la planta de producción.» </w:t>
      </w:r>
    </w:p>
    <w:p w14:paraId="2DAA72BD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7F008783" w14:textId="74242130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La línea de productos DIGITAL MASTER estará disponible en anchuras de impresión de 340 mm (13,5 pulgadas) y 510 mm (20 pulgadas) en un nuevo diseño optimizado para ofrecer una </w:t>
      </w:r>
      <w:r w:rsidR="00963E8A"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modularidad absoluto</w:t>
      </w: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, así como un funcionamiento y un servicio mejorados. Al igual que la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DM5, permite imprimir, embellecer y troquelar en una sola pasada, con una integración nativa sencilla entre la unidad de impresión digital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inkjet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UV y los módulos flexográficos y de conversión. La introducción de una versión de 510 mm ofrece más oportunidades de ampliar la versatilidad de aplicaciones hacia la producción de etiquetas de mayor tamaño, para mercados industriales y químicos,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wraparound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, etiquetas termo retráctiles y otras aplicaciones especiales. La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510 ofrece un mayor volumen de producción, aún y requiriendo solo un único operario que la maneje.  </w:t>
      </w:r>
    </w:p>
    <w:p w14:paraId="525B9809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1EE47D65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Con una velocidad de hasta 100 m/min (328 pies/min) y una resolución de 1200x1200 dpi, disponibles en cuatro o seis colores más el blanco digital opcional, las impresoras de la serie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cierran la brecha entre las máquinas tradicionales flexográficas y las digitales. La gama apuesta por la flexibilidad, plazos de entrega cortos, una producción integral de etiquetas en línea y un resultado con una calidad y productividad excepcionales en tiradas cada vez más largas. La arquitectura modular permite a los clientes configurar exactamente la máquina que necesitan —desde una versión solo digital hasta una configuración completamente personalizada— integrando todos los módulos disponibles en la </w:t>
      </w: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lastRenderedPageBreak/>
        <w:t xml:space="preserve">impresión flexográfica en línea. Además, ofrece la posibilidad de realizar actualizaciones en el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site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del cliente a posteriori.  </w:t>
      </w:r>
    </w:p>
    <w:p w14:paraId="3EAB434A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4B413F2E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"La serie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es una solución diseñada y preparada para el futuro porque los clientes pueden ir adaptando la máquina a los cambios y nuevas tendencias de mercado, así como a los nuevos requisitos a nivel de aplicaciones”, comentó Graber. “Y cuando lancemos al mercado nuevas tecnologías para estas plataformas, podrán readaptarse in situ, añadiendo valor añadido y protegiendo la inversión inicial." </w:t>
      </w:r>
    </w:p>
    <w:p w14:paraId="2121A4A0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Pueden incluirse módulos flexo para la imprimación en sustratos difíciles de tratar, trabajos con alta cobertura de tinta en tiradas largas a fin de ahorrar tinta digital, aplicaciones de alta cobertura blanca o para imprimir colores Pantone. Las funciones de embellecimiento disponibles incluyen barnizado, efectos táctiles y holográficos, estampación en frío, laminación UV e impresión de seguridad. En cuanto a la producción integral de etiquetas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end-to-end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, los troquelados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semi-rotativo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y rotativos están totalmente automatizados y listos para su integración. </w:t>
      </w:r>
    </w:p>
    <w:p w14:paraId="22B54A98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</w:p>
    <w:p w14:paraId="1FFB731A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Cada módulo de impresión, embellecimiento y acabado está digitalmente automatizado para ofrecer una disponibilidad elevada, pocos residuos y una repetibilidad notable, sea cual sea el nivel de cualificación del operario. El control de calidad está garantizado gracias a la inclusión de BOBST ACCUCHECK para una inspección 100% en línea a la máxima velocidad. Esta tecnología probada comprueba el registro, la calidad y la consistencia del color en la impresión digital y flexográfica, además de todos los embellecimientos, para garantizar una producción sin fallos.  </w:t>
      </w:r>
    </w:p>
    <w:p w14:paraId="0C7B63AC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74AB6BF0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El dispositivo de mantenimiento automático de la unidad de impresión digital de BOBST también se incluye en todas las prensas con el objetivo de satisfacer los requisitos más exigentes de productividad y calidad, mientras que las bobinadoras y desbobinadoras jumbo de 1000 mm (39 pulgadas) con sistema automatizado de elevación, reducen el número de cambios de bobinas, ahorrando tiempo y esfuerzo. Una única interfaz fácil de usar controla toda la máquina, la cual puede conectarse a la nube y permite la integración MIS. </w:t>
      </w:r>
    </w:p>
    <w:p w14:paraId="6F58C7B4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3BF2256C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Al igual que todas las impresoras de la gama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oneLABEL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, la nueva serie de prensas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está desarrollada, fabricada, instalada y mantenida por BOBST. «La línea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se basa en simplificar y reducirlo todo a UNO: UNA impresora para todos los trabajos de etiquetas, UN flujo de trabajo para unificar todos los elementos, UN operario para manejar la impresora, UN proveedor que desarrolla todas las tecnologías y UN punto de servicio, tanto para las piezas convencionales como para las digitales», explicó Graber.  </w:t>
      </w:r>
    </w:p>
    <w:p w14:paraId="539282C4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color w:val="70AD47"/>
          <w:sz w:val="20"/>
          <w:szCs w:val="20"/>
          <w:lang w:val="es-ES" w:eastAsia="it-IT"/>
        </w:rPr>
        <w:t> </w:t>
      </w:r>
    </w:p>
    <w:p w14:paraId="36AF6D93" w14:textId="5F54EADC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BOBST compartirá todas las características y ventajas de la nueva serie DIGITAL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MASTER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durante los dos </w:t>
      </w:r>
      <w:proofErr w:type="spell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webinars</w:t>
      </w:r>
      <w:proofErr w:type="spell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que tendrán lugar los días 13 y 20 de abril. Las personas interesadas pueden registrarse en </w:t>
      </w:r>
      <w:hyperlink r:id="rId7" w:history="1">
        <w:r w:rsidR="00BE0B70" w:rsidRPr="00BE0B70">
          <w:rPr>
            <w:rFonts w:cs="Arial"/>
            <w:color w:val="0563C1"/>
            <w:sz w:val="20"/>
            <w:szCs w:val="20"/>
            <w:u w:val="single"/>
            <w:lang w:val="en-US"/>
          </w:rPr>
          <w:t>https://www.bobst.com/DIGITAL-MASTER-WEBINAR</w:t>
        </w:r>
      </w:hyperlink>
      <w:r w:rsidR="00BE0B70">
        <w:rPr>
          <w:rFonts w:cs="Arial"/>
          <w:sz w:val="20"/>
          <w:szCs w:val="20"/>
          <w:lang w:val="en-US"/>
        </w:rPr>
        <w:t xml:space="preserve"> .</w:t>
      </w:r>
    </w:p>
    <w:p w14:paraId="030B681D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 </w:t>
      </w:r>
    </w:p>
    <w:p w14:paraId="67A5CD7D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A lo largo del año, los clientes podrán ver funcionar todas las impresoras BOBST en los Centros de Competencia de Italia, </w:t>
      </w:r>
      <w:proofErr w:type="gramStart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EE.UU.</w:t>
      </w:r>
      <w:proofErr w:type="gramEnd"/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 xml:space="preserve"> y Suiza. «BOBST está abierto a ofrecer sesiones individuales de manera presencial. Estamos deseando recibir a nuestros clientes en nuestros centros especializados en etiquetas», concluye Graber. </w:t>
      </w:r>
    </w:p>
    <w:p w14:paraId="5EC93404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 </w:t>
      </w:r>
    </w:p>
    <w:p w14:paraId="67DD54BE" w14:textId="77777777" w:rsidR="00804EB0" w:rsidRPr="00804EB0" w:rsidRDefault="00804EB0" w:rsidP="00804EB0">
      <w:p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val="es-ES" w:eastAsia="it-IT"/>
        </w:rPr>
      </w:pPr>
      <w:r w:rsidRPr="00804EB0">
        <w:rPr>
          <w:rFonts w:asciiTheme="minorHAnsi" w:hAnsiTheme="minorHAnsi" w:cstheme="minorHAnsi"/>
          <w:sz w:val="20"/>
          <w:szCs w:val="20"/>
          <w:lang w:val="es-ES" w:eastAsia="it-IT"/>
        </w:rPr>
        <w:t>./. </w:t>
      </w:r>
    </w:p>
    <w:p w14:paraId="3108EE51" w14:textId="77777777" w:rsidR="00804EB0" w:rsidRPr="00804EB0" w:rsidRDefault="00804EB0" w:rsidP="00804EB0">
      <w:pPr>
        <w:spacing w:after="160" w:line="259" w:lineRule="auto"/>
        <w:rPr>
          <w:rFonts w:ascii="Calibri" w:eastAsia="Calibri" w:hAnsi="Calibri"/>
          <w:sz w:val="22"/>
          <w:szCs w:val="22"/>
          <w:lang w:val="es-ES"/>
        </w:rPr>
      </w:pPr>
      <w:r w:rsidRPr="00804EB0">
        <w:rPr>
          <w:rFonts w:ascii="Calibri" w:eastAsia="Calibri" w:hAnsi="Calibri"/>
          <w:sz w:val="22"/>
          <w:szCs w:val="22"/>
          <w:lang w:val="es-ES"/>
        </w:rPr>
        <w:t xml:space="preserve"> </w:t>
      </w:r>
    </w:p>
    <w:p w14:paraId="44284AD6" w14:textId="77777777" w:rsidR="00EF0880" w:rsidRPr="00F775CD" w:rsidRDefault="00EF0880" w:rsidP="00EF0880">
      <w:pPr>
        <w:pStyle w:val="NoSpacing"/>
        <w:spacing w:line="276" w:lineRule="auto"/>
        <w:rPr>
          <w:rFonts w:cstheme="minorHAnsi"/>
          <w:sz w:val="20"/>
          <w:szCs w:val="20"/>
          <w:lang w:val="es-ES"/>
        </w:rPr>
      </w:pPr>
    </w:p>
    <w:p w14:paraId="21821F78" w14:textId="4F7D53CF" w:rsidR="00B936B3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60516D3" w14:textId="77777777" w:rsidR="00EF0880" w:rsidRPr="00F11391" w:rsidRDefault="00EF088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006D5312" w14:textId="77777777" w:rsidR="00217782" w:rsidRPr="00217782" w:rsidRDefault="00217782" w:rsidP="00217782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7D1877B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2EB648D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2215CB9B" w14:textId="77777777" w:rsidR="00217782" w:rsidRPr="00217782" w:rsidRDefault="00217782" w:rsidP="00217782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217782">
        <w:rPr>
          <w:rFonts w:asciiTheme="minorHAnsi" w:hAnsiTheme="minorHAnsi" w:cstheme="minorHAnsi"/>
          <w:sz w:val="19"/>
          <w:szCs w:val="19"/>
          <w:lang w:val="es-ES"/>
        </w:rPr>
        <w:t>Fundada en 1890 por Joseph Bobst en Lausana (Suiza), BOBST está presente en más de 50 países, cuenta con 19 plantas de producción en 11 países y emplea a más 5</w:t>
      </w:r>
      <w:r w:rsidRPr="00217782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800 trabajadores en todo el mundo. La compañía registró una facturación consolidada de </w:t>
      </w:r>
      <w:proofErr w:type="gramStart"/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1.563 </w:t>
      </w:r>
      <w:r w:rsidRPr="00217782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217782">
        <w:rPr>
          <w:rFonts w:asciiTheme="minorHAnsi" w:hAnsiTheme="minorHAnsi" w:cstheme="minorHAnsi"/>
          <w:sz w:val="19"/>
          <w:szCs w:val="19"/>
          <w:lang w:val="es-ES"/>
        </w:rPr>
        <w:t>mil</w:t>
      </w:r>
      <w:proofErr w:type="gramEnd"/>
      <w:r w:rsidRPr="00217782">
        <w:rPr>
          <w:rFonts w:asciiTheme="minorHAnsi" w:hAnsiTheme="minorHAnsi" w:cstheme="minorHAnsi"/>
          <w:sz w:val="19"/>
          <w:szCs w:val="19"/>
          <w:lang w:val="es-ES"/>
        </w:rPr>
        <w:t xml:space="preserve"> millones de francos suizos durante el ejercicio finalizado el 31 de diciembre de 2021.</w:t>
      </w:r>
    </w:p>
    <w:p w14:paraId="6493E85D" w14:textId="7B1F7235" w:rsid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>.</w:t>
      </w:r>
    </w:p>
    <w:p w14:paraId="406DE4D5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r w:rsidRPr="00A27024">
        <w:rPr>
          <w:rFonts w:cs="Arial"/>
          <w:sz w:val="19"/>
          <w:szCs w:val="19"/>
          <w:lang w:val="fr-BE" w:eastAsia="zh-CN"/>
        </w:rPr>
        <w:t>Gudrun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963E8A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963E8A">
        <w:rPr>
          <w:rFonts w:cs="Arial"/>
          <w:sz w:val="19"/>
          <w:szCs w:val="19"/>
          <w:lang w:val="fr-CH" w:eastAsia="de-DE"/>
        </w:rPr>
        <w:t xml:space="preserve">Tel.: +49 211 58 58 66 66 </w:t>
      </w:r>
    </w:p>
    <w:p w14:paraId="4EC36826" w14:textId="77777777" w:rsidR="006A73CE" w:rsidRPr="00963E8A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963E8A">
        <w:rPr>
          <w:rFonts w:cs="Arial"/>
          <w:sz w:val="19"/>
          <w:szCs w:val="19"/>
          <w:lang w:val="fr-CH" w:eastAsia="de-DE"/>
        </w:rPr>
        <w:t>Mobile: +49 160 48 41 439</w:t>
      </w:r>
    </w:p>
    <w:p w14:paraId="397F5226" w14:textId="77777777" w:rsidR="000B5055" w:rsidRPr="00963E8A" w:rsidRDefault="000B5055" w:rsidP="00B936B3">
      <w:pPr>
        <w:rPr>
          <w:rFonts w:cs="Arial"/>
          <w:sz w:val="19"/>
          <w:szCs w:val="19"/>
          <w:lang w:val="fr-CH" w:eastAsia="de-DE"/>
        </w:rPr>
      </w:pPr>
      <w:r w:rsidRPr="00963E8A">
        <w:rPr>
          <w:rFonts w:cs="Arial"/>
          <w:sz w:val="19"/>
          <w:szCs w:val="19"/>
          <w:lang w:val="fr-CH" w:eastAsia="de-DE"/>
        </w:rPr>
        <w:t xml:space="preserve">Email: </w:t>
      </w:r>
      <w:hyperlink r:id="rId8" w:history="1">
        <w:r w:rsidRPr="00963E8A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CH" w:eastAsia="de-DE"/>
          </w:rPr>
          <w:t>gudrun.alex@bobst.com</w:t>
        </w:r>
      </w:hyperlink>
    </w:p>
    <w:p w14:paraId="647F40A9" w14:textId="77777777" w:rsidR="006A73CE" w:rsidRPr="00963E8A" w:rsidRDefault="006A73CE" w:rsidP="00B936B3">
      <w:pPr>
        <w:rPr>
          <w:rFonts w:cs="Arial"/>
          <w:sz w:val="19"/>
          <w:szCs w:val="19"/>
          <w:lang w:val="fr-CH" w:eastAsia="de-DE"/>
        </w:rPr>
      </w:pPr>
    </w:p>
    <w:p w14:paraId="00E090D4" w14:textId="77777777" w:rsidR="00D12952" w:rsidRPr="00963E8A" w:rsidRDefault="00D12952" w:rsidP="00B936B3">
      <w:pPr>
        <w:rPr>
          <w:rFonts w:cs="Arial"/>
          <w:sz w:val="19"/>
          <w:szCs w:val="19"/>
          <w:lang w:val="fr-CH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2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AB75" w14:textId="77777777" w:rsidR="00C42F61" w:rsidRDefault="00C42F61" w:rsidP="00BB5BE9">
      <w:pPr>
        <w:spacing w:line="240" w:lineRule="auto"/>
      </w:pPr>
      <w:r>
        <w:separator/>
      </w:r>
    </w:p>
  </w:endnote>
  <w:endnote w:type="continuationSeparator" w:id="0">
    <w:p w14:paraId="65C68BC2" w14:textId="77777777" w:rsidR="00C42F61" w:rsidRDefault="00C42F61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Bobst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r w:rsidRPr="000B5055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C81F" w14:textId="77777777" w:rsidR="00C42F61" w:rsidRDefault="00C42F61" w:rsidP="00BB5BE9">
      <w:pPr>
        <w:spacing w:line="240" w:lineRule="auto"/>
      </w:pPr>
      <w:r>
        <w:separator/>
      </w:r>
    </w:p>
  </w:footnote>
  <w:footnote w:type="continuationSeparator" w:id="0">
    <w:p w14:paraId="3D892472" w14:textId="77777777" w:rsidR="00C42F61" w:rsidRDefault="00C42F61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963E8A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963E8A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7064C"/>
    <w:rsid w:val="002A62A9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12148"/>
    <w:rsid w:val="006464E6"/>
    <w:rsid w:val="006A45F6"/>
    <w:rsid w:val="006A73CE"/>
    <w:rsid w:val="006C70AF"/>
    <w:rsid w:val="00722663"/>
    <w:rsid w:val="00756417"/>
    <w:rsid w:val="00766D70"/>
    <w:rsid w:val="00804EB0"/>
    <w:rsid w:val="0084626F"/>
    <w:rsid w:val="0089339F"/>
    <w:rsid w:val="008B5EF4"/>
    <w:rsid w:val="008C4AAD"/>
    <w:rsid w:val="008D353F"/>
    <w:rsid w:val="0094373A"/>
    <w:rsid w:val="00963E8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BE0B70"/>
    <w:rsid w:val="00C20D00"/>
    <w:rsid w:val="00C42F61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DIGITAL-MASTER-WEBINAR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ES_28502.dotx</Template>
  <TotalTime>4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5</cp:revision>
  <cp:lastPrinted>2015-02-06T09:00:00Z</cp:lastPrinted>
  <dcterms:created xsi:type="dcterms:W3CDTF">2022-03-21T08:01:00Z</dcterms:created>
  <dcterms:modified xsi:type="dcterms:W3CDTF">2022-03-21T11:27:00Z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